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微软雅黑"/>
          <w:sz w:val="32"/>
          <w:szCs w:val="32"/>
          <w:shd w:val="clear" w:color="auto" w:fill="FFFFFF"/>
        </w:rPr>
        <w:t>可能危害地震监测设施和地震观测环境建设项目审查</w:t>
      </w:r>
      <w:r>
        <w:rPr>
          <w:rFonts w:ascii="黑体" w:hAnsi="黑体" w:eastAsia="黑体" w:cs="微软雅黑"/>
          <w:sz w:val="32"/>
          <w:szCs w:val="32"/>
          <w:shd w:val="clear" w:color="auto" w:fill="FFFFFF"/>
        </w:rPr>
        <w:t>申请表</w:t>
      </w:r>
    </w:p>
    <w:bookmarkEnd w:id="0"/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（样表）</w:t>
      </w: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87"/>
        <w:gridCol w:w="147"/>
        <w:gridCol w:w="1198"/>
        <w:gridCol w:w="864"/>
        <w:gridCol w:w="269"/>
        <w:gridCol w:w="654"/>
        <w:gridCol w:w="772"/>
        <w:gridCol w:w="1216"/>
        <w:gridCol w:w="449"/>
        <w:gridCol w:w="472"/>
        <w:gridCol w:w="94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9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拟建工程项目名称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拟建工程项目业主情况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业主名称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95" w:type="dxa"/>
            <w:gridSpan w:val="3"/>
            <w:vAlign w:val="center"/>
          </w:tcPr>
          <w:p/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42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695" w:type="dxa"/>
            <w:gridSpan w:val="3"/>
            <w:vAlign w:val="center"/>
          </w:tcPr>
          <w:p/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42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主管部门（单位）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9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工程项目类型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9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工程项目规模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81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工程项目场地</w:t>
            </w:r>
          </w:p>
          <w:p>
            <w:pPr>
              <w:jc w:val="center"/>
            </w:pPr>
            <w:r>
              <w:rPr>
                <w:rFonts w:hint="eastAsia"/>
              </w:rPr>
              <w:t>位置（范围）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981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经度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纬度</w:t>
            </w:r>
          </w:p>
        </w:tc>
        <w:tc>
          <w:tcPr>
            <w:tcW w:w="202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834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9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地震监测管理部门意见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9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  <w:p>
            <w:pPr>
              <w:jc w:val="center"/>
            </w:pPr>
            <w:r>
              <w:rPr>
                <w:rFonts w:hint="eastAsia"/>
              </w:rPr>
              <w:t>及受理时间</w:t>
            </w:r>
          </w:p>
        </w:tc>
        <w:tc>
          <w:tcPr>
            <w:tcW w:w="5853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34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  <w:r>
              <w:t>基本情况</w:t>
            </w:r>
          </w:p>
          <w:p>
            <w:r>
              <w:rPr>
                <w:rFonts w:hint="eastAsia"/>
              </w:rPr>
              <w:t>填表说明：若建设项目属于下表在地震观测环境保护范围内的干扰源种类，申请人需在对应“□”标记“√”，并单独提交干扰源种类坐标，坐标宜采用kml格式文件。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6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观测名称</w:t>
            </w:r>
          </w:p>
        </w:tc>
        <w:tc>
          <w:tcPr>
            <w:tcW w:w="4224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干扰源种类</w:t>
            </w:r>
          </w:p>
        </w:tc>
        <w:tc>
          <w:tcPr>
            <w:tcW w:w="141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最小距离(KM)</w:t>
            </w:r>
          </w:p>
        </w:tc>
        <w:tc>
          <w:tcPr>
            <w:tcW w:w="1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4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观测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地震台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遥测地震台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采石场等人工爆破源□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3.00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距拾震器距离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主要公路、机械化农场□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岩石破碎机、重型机械、飞机场、铁路□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5.00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水库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中小型□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大型□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10.00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建筑物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高大建筑物□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0.20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低建筑物□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0.03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大型输油、输气管道□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10.00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地电观测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地下金属管道□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0.30  0.50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距地布极区距离；前数字为地电阻率观测，后数字为地电场观测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变压器(容量30-50KVA之间)、小型用电设备(30KVA以下)□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0.03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0.05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变压器(容量≥50KVA)□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0.10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0.20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变电所(1000KVA)□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直流电焊机□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高压输电线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35KV□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110KV□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220KV□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0.80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带避雷线的高压输电线杆或铁塔□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两线-地制交流变压器(≥500KVA)□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2.00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10.00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调整公路□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普通铁路□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电气化铁路□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10.00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工业用抽水井(站)□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0.10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地磁观测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铁路□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距地磁台距离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铁路枢纽□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5.00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电气化铁路(交流电)□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地铁□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35.00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公路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干线□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一般□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飞机场□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小型机械厂□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机械、钢铁等厂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厂内总计有500吨以上钢铁□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厂内总计有千吨以上钢铁□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厂内总计有万吨以上钢铁□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高压输电线电压/V(交流电)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3.5×10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11×10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0.80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22×10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50×10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发电厂功率/W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5.00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5×10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8.00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20×10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10.0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通讯电缆□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发谢台功率/W(电视转播台)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15×10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35×10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2.50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采石场等人工爆破源□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建筑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多、高层楼建筑区□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两层楼建筑区□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平房区□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0.30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</w:t>
            </w:r>
            <w:r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  <w:t>下流体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同层开采或注水井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观测层渗透系数K≤5m/d时□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0.50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距观测井距离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观测层渗透系数5.1-49.9m/d时□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1.50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观测层渗透系数K≥50m/d时□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3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各类机械扰动干扰□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0.01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距氦、氨气观测室距离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43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地壳形变观测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地倾斜台、洞体应变台、重力台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深层抽、注水，采石场等人工爆破源、大型水库□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0.01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距台址距离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主干公路、铁路、大型仓库□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钻孔应变台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大型抽、注水站，大型水库□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1.00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压模机、冲床等大型扰动源，大型变压器、电机，电台发射天线、铁路、主干公路□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0.20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GPS观测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深层抽、注水，采石场等人工爆破源、大型水库□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3.00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各方向水平视线高度角15°以上列阻挡物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铁路□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0.20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公路□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0.05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5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超高压电线□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shd w:val="clear" w:color="auto" w:fill="FFFFFF"/>
              </w:rPr>
              <w:t>0.10</w:t>
            </w: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/>
              <w:jc w:val="center"/>
              <w:rPr>
                <w:rFonts w:cs="宋体" w:ascii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2C60"/>
    <w:rsid w:val="223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2021-03-11T06:22:00Z</dcterms:created>
  <dc:creator>Administrator</dc:creator>
  <cp:lastModifiedBy>Administrator</cp:lastModifiedBy>
  <dcterms:modified xsi:type="dcterms:W3CDTF">2021-03-11T06:22:20Z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