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D3" w:rsidRDefault="00970FCB">
      <w:pPr>
        <w:widowControl/>
        <w:shd w:val="clear" w:color="auto" w:fill="FFFFFF"/>
        <w:spacing w:line="690" w:lineRule="atLeast"/>
        <w:jc w:val="center"/>
        <w:outlineLvl w:val="1"/>
        <w:rPr>
          <w:rFonts w:eastAsia="方正小标宋简体" w:cs="方正小标宋简体"/>
          <w:color w:val="000000"/>
          <w:kern w:val="0"/>
          <w:sz w:val="42"/>
          <w:szCs w:val="42"/>
        </w:rPr>
      </w:pPr>
      <w:bookmarkStart w:id="0" w:name="_GoBack"/>
      <w:bookmarkEnd w:id="0"/>
      <w:r>
        <w:rPr>
          <w:rFonts w:eastAsia="方正小标宋简体" w:cs="方正小标宋简体" w:hint="eastAsia"/>
          <w:color w:val="000000"/>
          <w:kern w:val="0"/>
          <w:sz w:val="42"/>
          <w:szCs w:val="42"/>
        </w:rPr>
        <w:t>四川省</w:t>
      </w:r>
      <w:r>
        <w:rPr>
          <w:rFonts w:eastAsia="方正小标宋简体" w:cs="方正小标宋简体" w:hint="eastAsia"/>
          <w:color w:val="000000"/>
          <w:kern w:val="0"/>
          <w:sz w:val="42"/>
          <w:szCs w:val="42"/>
        </w:rPr>
        <w:t>2024</w:t>
      </w:r>
      <w:r>
        <w:rPr>
          <w:rFonts w:eastAsia="方正小标宋简体" w:cs="方正小标宋简体" w:hint="eastAsia"/>
          <w:color w:val="000000"/>
          <w:kern w:val="0"/>
          <w:sz w:val="42"/>
          <w:szCs w:val="42"/>
        </w:rPr>
        <w:t>年</w:t>
      </w:r>
      <w:r>
        <w:rPr>
          <w:rFonts w:eastAsia="方正小标宋简体" w:cs="方正小标宋简体" w:hint="eastAsia"/>
          <w:color w:val="000000"/>
          <w:kern w:val="0"/>
          <w:sz w:val="42"/>
          <w:szCs w:val="42"/>
        </w:rPr>
        <w:t>7-12</w:t>
      </w:r>
      <w:r>
        <w:rPr>
          <w:rFonts w:eastAsia="方正小标宋简体" w:cs="方正小标宋简体" w:hint="eastAsia"/>
          <w:color w:val="000000"/>
          <w:kern w:val="0"/>
          <w:sz w:val="42"/>
          <w:szCs w:val="42"/>
        </w:rPr>
        <w:t>月“重大工程抗震设防要求审定”决定公告</w:t>
      </w:r>
    </w:p>
    <w:tbl>
      <w:tblPr>
        <w:tblStyle w:val="a3"/>
        <w:tblW w:w="14610" w:type="dxa"/>
        <w:jc w:val="center"/>
        <w:tblLook w:val="04A0"/>
      </w:tblPr>
      <w:tblGrid>
        <w:gridCol w:w="704"/>
        <w:gridCol w:w="1701"/>
        <w:gridCol w:w="2835"/>
        <w:gridCol w:w="1559"/>
        <w:gridCol w:w="2410"/>
        <w:gridCol w:w="3402"/>
        <w:gridCol w:w="1999"/>
      </w:tblGrid>
      <w:tr w:rsidR="005259D3">
        <w:trPr>
          <w:jc w:val="center"/>
        </w:trPr>
        <w:tc>
          <w:tcPr>
            <w:tcW w:w="704" w:type="dxa"/>
            <w:vAlign w:val="center"/>
          </w:tcPr>
          <w:p w:rsidR="005259D3" w:rsidRDefault="00970FCB">
            <w:pPr>
              <w:widowControl/>
              <w:spacing w:line="360" w:lineRule="exact"/>
              <w:jc w:val="center"/>
              <w:outlineLvl w:val="1"/>
              <w:rPr>
                <w:rFonts w:ascii="黑体" w:eastAsia="黑体" w:hAnsi="黑体" w:cs="宋体"/>
                <w:b/>
                <w:bCs/>
                <w:color w:val="000000"/>
                <w:kern w:val="0"/>
                <w:sz w:val="24"/>
                <w:szCs w:val="24"/>
              </w:rPr>
            </w:pPr>
            <w:bookmarkStart w:id="1" w:name="_Hlk169535693"/>
            <w:r>
              <w:rPr>
                <w:rFonts w:ascii="黑体" w:eastAsia="黑体" w:hAnsi="黑体" w:cs="宋体" w:hint="eastAsia"/>
                <w:b/>
                <w:bCs/>
                <w:color w:val="000000"/>
                <w:kern w:val="0"/>
                <w:sz w:val="24"/>
                <w:szCs w:val="24"/>
              </w:rPr>
              <w:t>序号</w:t>
            </w:r>
          </w:p>
        </w:tc>
        <w:tc>
          <w:tcPr>
            <w:tcW w:w="1701" w:type="dxa"/>
            <w:vAlign w:val="center"/>
          </w:tcPr>
          <w:p w:rsidR="005259D3" w:rsidRDefault="00970FCB">
            <w:pPr>
              <w:widowControl/>
              <w:spacing w:line="360" w:lineRule="exact"/>
              <w:jc w:val="center"/>
              <w:outlineLvl w:val="1"/>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项目名称</w:t>
            </w:r>
          </w:p>
        </w:tc>
        <w:tc>
          <w:tcPr>
            <w:tcW w:w="2835" w:type="dxa"/>
            <w:vAlign w:val="center"/>
          </w:tcPr>
          <w:p w:rsidR="005259D3" w:rsidRDefault="00970FCB">
            <w:pPr>
              <w:widowControl/>
              <w:spacing w:line="360" w:lineRule="exact"/>
              <w:jc w:val="center"/>
              <w:outlineLvl w:val="1"/>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行政相对人名称</w:t>
            </w:r>
          </w:p>
        </w:tc>
        <w:tc>
          <w:tcPr>
            <w:tcW w:w="1559" w:type="dxa"/>
            <w:vAlign w:val="center"/>
          </w:tcPr>
          <w:p w:rsidR="005259D3" w:rsidRDefault="00970FCB">
            <w:pPr>
              <w:widowControl/>
              <w:spacing w:line="360" w:lineRule="exact"/>
              <w:jc w:val="center"/>
              <w:outlineLvl w:val="1"/>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法定代表人</w:t>
            </w:r>
          </w:p>
        </w:tc>
        <w:tc>
          <w:tcPr>
            <w:tcW w:w="2410" w:type="dxa"/>
            <w:vAlign w:val="center"/>
          </w:tcPr>
          <w:p w:rsidR="005259D3" w:rsidRDefault="00970FCB">
            <w:pPr>
              <w:widowControl/>
              <w:spacing w:line="360" w:lineRule="exact"/>
              <w:jc w:val="center"/>
              <w:outlineLvl w:val="1"/>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行政许可决定文书号</w:t>
            </w:r>
          </w:p>
        </w:tc>
        <w:tc>
          <w:tcPr>
            <w:tcW w:w="3402" w:type="dxa"/>
            <w:vAlign w:val="center"/>
          </w:tcPr>
          <w:p w:rsidR="005259D3" w:rsidRDefault="00970FCB">
            <w:pPr>
              <w:widowControl/>
              <w:spacing w:line="360" w:lineRule="exact"/>
              <w:jc w:val="center"/>
              <w:outlineLvl w:val="1"/>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行政许可决定文书名称</w:t>
            </w:r>
          </w:p>
        </w:tc>
        <w:tc>
          <w:tcPr>
            <w:tcW w:w="1999" w:type="dxa"/>
            <w:vAlign w:val="center"/>
          </w:tcPr>
          <w:p w:rsidR="005259D3" w:rsidRDefault="00970FCB">
            <w:pPr>
              <w:widowControl/>
              <w:spacing w:line="360" w:lineRule="exact"/>
              <w:jc w:val="center"/>
              <w:outlineLvl w:val="1"/>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许可决定日期</w:t>
            </w:r>
          </w:p>
        </w:tc>
      </w:tr>
      <w:tr w:rsidR="005259D3">
        <w:trPr>
          <w:jc w:val="center"/>
        </w:trPr>
        <w:tc>
          <w:tcPr>
            <w:tcW w:w="704" w:type="dxa"/>
            <w:vAlign w:val="center"/>
          </w:tcPr>
          <w:p w:rsidR="005259D3" w:rsidRDefault="00970FCB">
            <w:pPr>
              <w:widowControl/>
              <w:spacing w:line="360" w:lineRule="exact"/>
              <w:jc w:val="center"/>
              <w:outlineLvl w:val="1"/>
              <w:rPr>
                <w:rFonts w:cs="宋体"/>
                <w:color w:val="000000"/>
                <w:kern w:val="0"/>
                <w:sz w:val="21"/>
                <w:szCs w:val="21"/>
              </w:rPr>
            </w:pPr>
            <w:r>
              <w:rPr>
                <w:rFonts w:cs="宋体" w:hint="eastAsia"/>
                <w:color w:val="000000"/>
                <w:kern w:val="0"/>
                <w:sz w:val="21"/>
                <w:szCs w:val="21"/>
              </w:rPr>
              <w:t>1</w:t>
            </w:r>
          </w:p>
        </w:tc>
        <w:tc>
          <w:tcPr>
            <w:tcW w:w="1701"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S565 盐源县大坡蒙古族乡至白乌镇段改建工程小金河特大桥</w:t>
            </w:r>
          </w:p>
        </w:tc>
        <w:tc>
          <w:tcPr>
            <w:tcW w:w="2835"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盐源县交通运输局</w:t>
            </w:r>
          </w:p>
        </w:tc>
        <w:tc>
          <w:tcPr>
            <w:tcW w:w="1559"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黎佳瑜</w:t>
            </w:r>
          </w:p>
        </w:tc>
        <w:tc>
          <w:tcPr>
            <w:tcW w:w="2410" w:type="dxa"/>
            <w:vAlign w:val="center"/>
          </w:tcPr>
          <w:p w:rsidR="005259D3" w:rsidRDefault="00970FCB">
            <w:pPr>
              <w:widowControl/>
              <w:jc w:val="left"/>
              <w:textAlignment w:val="center"/>
              <w:rPr>
                <w:rFonts w:cs="宋体"/>
                <w:color w:val="000000"/>
                <w:kern w:val="0"/>
                <w:sz w:val="21"/>
                <w:szCs w:val="21"/>
              </w:rPr>
            </w:pPr>
            <w:r>
              <w:rPr>
                <w:rFonts w:ascii="仿宋_GB2312" w:hAnsi="等线" w:cs="仿宋_GB2312" w:hint="eastAsia"/>
                <w:color w:val="000000"/>
                <w:kern w:val="0"/>
                <w:sz w:val="20"/>
              </w:rPr>
              <w:t>川震许可〔2024〕9号</w:t>
            </w:r>
          </w:p>
        </w:tc>
        <w:tc>
          <w:tcPr>
            <w:tcW w:w="3402" w:type="dxa"/>
            <w:vAlign w:val="center"/>
          </w:tcPr>
          <w:p w:rsidR="005259D3" w:rsidRDefault="00970FCB">
            <w:pPr>
              <w:widowControl/>
              <w:jc w:val="left"/>
              <w:textAlignment w:val="center"/>
              <w:rPr>
                <w:rFonts w:cs="宋体"/>
                <w:color w:val="000000"/>
                <w:kern w:val="0"/>
                <w:sz w:val="21"/>
                <w:szCs w:val="21"/>
              </w:rPr>
            </w:pPr>
            <w:r>
              <w:rPr>
                <w:rFonts w:ascii="仿宋_GB2312" w:hAnsi="等线" w:cs="仿宋_GB2312" w:hint="eastAsia"/>
                <w:color w:val="000000"/>
                <w:kern w:val="0"/>
                <w:sz w:val="20"/>
              </w:rPr>
              <w:t>四川省地震局关于S565 盐源县大坡蒙古族乡至白乌镇段改建工程小金河特大桥工程场地抗震设防要求的批复</w:t>
            </w:r>
          </w:p>
        </w:tc>
        <w:tc>
          <w:tcPr>
            <w:tcW w:w="1999"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2024.8.6</w:t>
            </w:r>
          </w:p>
        </w:tc>
      </w:tr>
      <w:tr w:rsidR="005259D3">
        <w:trPr>
          <w:jc w:val="center"/>
        </w:trPr>
        <w:tc>
          <w:tcPr>
            <w:tcW w:w="704" w:type="dxa"/>
            <w:vAlign w:val="center"/>
          </w:tcPr>
          <w:p w:rsidR="005259D3" w:rsidRDefault="00970FCB">
            <w:pPr>
              <w:widowControl/>
              <w:spacing w:line="360" w:lineRule="exact"/>
              <w:jc w:val="center"/>
              <w:outlineLvl w:val="1"/>
              <w:rPr>
                <w:rFonts w:cs="宋体"/>
                <w:color w:val="000000"/>
                <w:kern w:val="0"/>
                <w:sz w:val="21"/>
                <w:szCs w:val="21"/>
              </w:rPr>
            </w:pPr>
            <w:r>
              <w:rPr>
                <w:rFonts w:cs="宋体" w:hint="eastAsia"/>
                <w:color w:val="000000"/>
                <w:kern w:val="0"/>
                <w:sz w:val="21"/>
                <w:szCs w:val="21"/>
              </w:rPr>
              <w:t>2</w:t>
            </w:r>
          </w:p>
        </w:tc>
        <w:tc>
          <w:tcPr>
            <w:tcW w:w="1701"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S107北川县石椅隧道</w:t>
            </w:r>
          </w:p>
        </w:tc>
        <w:tc>
          <w:tcPr>
            <w:tcW w:w="2835"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北川羌族自治县公路管理所</w:t>
            </w:r>
          </w:p>
        </w:tc>
        <w:tc>
          <w:tcPr>
            <w:tcW w:w="1559"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唐露均</w:t>
            </w:r>
          </w:p>
        </w:tc>
        <w:tc>
          <w:tcPr>
            <w:tcW w:w="2410"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川震许可〔2024〕10号</w:t>
            </w:r>
          </w:p>
        </w:tc>
        <w:tc>
          <w:tcPr>
            <w:tcW w:w="3402" w:type="dxa"/>
            <w:vAlign w:val="center"/>
          </w:tcPr>
          <w:p w:rsidR="005259D3" w:rsidRDefault="00970FCB">
            <w:pPr>
              <w:widowControl/>
              <w:jc w:val="left"/>
              <w:textAlignment w:val="center"/>
              <w:rPr>
                <w:rFonts w:cs="宋体"/>
                <w:color w:val="000000"/>
                <w:kern w:val="0"/>
                <w:sz w:val="21"/>
                <w:szCs w:val="21"/>
              </w:rPr>
            </w:pPr>
            <w:r>
              <w:rPr>
                <w:rFonts w:ascii="仿宋_GB2312" w:hAnsi="等线" w:cs="仿宋_GB2312" w:hint="eastAsia"/>
                <w:color w:val="000000"/>
                <w:kern w:val="0"/>
                <w:sz w:val="20"/>
              </w:rPr>
              <w:t>四川省地震局关于S107北川县石椅隧道新建工程场地抗震设防要求的批复</w:t>
            </w:r>
          </w:p>
        </w:tc>
        <w:tc>
          <w:tcPr>
            <w:tcW w:w="1999"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2024.8.6</w:t>
            </w:r>
          </w:p>
        </w:tc>
      </w:tr>
      <w:tr w:rsidR="005259D3">
        <w:trPr>
          <w:jc w:val="center"/>
        </w:trPr>
        <w:tc>
          <w:tcPr>
            <w:tcW w:w="704" w:type="dxa"/>
            <w:vAlign w:val="center"/>
          </w:tcPr>
          <w:p w:rsidR="005259D3" w:rsidRDefault="00970FCB">
            <w:pPr>
              <w:widowControl/>
              <w:spacing w:line="360" w:lineRule="exact"/>
              <w:jc w:val="center"/>
              <w:outlineLvl w:val="1"/>
              <w:rPr>
                <w:rFonts w:cs="宋体"/>
                <w:color w:val="000000"/>
                <w:kern w:val="0"/>
                <w:sz w:val="21"/>
                <w:szCs w:val="21"/>
              </w:rPr>
            </w:pPr>
            <w:r>
              <w:rPr>
                <w:rFonts w:cs="宋体" w:hint="eastAsia"/>
                <w:color w:val="000000"/>
                <w:kern w:val="0"/>
                <w:sz w:val="21"/>
                <w:szCs w:val="21"/>
              </w:rPr>
              <w:t>3</w:t>
            </w:r>
          </w:p>
        </w:tc>
        <w:tc>
          <w:tcPr>
            <w:tcW w:w="1701"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德格县疾病预防控制中心鼠疫强毒实验室及综合业务用房建设项目</w:t>
            </w:r>
          </w:p>
        </w:tc>
        <w:tc>
          <w:tcPr>
            <w:tcW w:w="2835"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德格县疾病预防控制中心</w:t>
            </w:r>
          </w:p>
        </w:tc>
        <w:tc>
          <w:tcPr>
            <w:tcW w:w="1559"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扎西翁嘉</w:t>
            </w:r>
          </w:p>
        </w:tc>
        <w:tc>
          <w:tcPr>
            <w:tcW w:w="2410"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川震许可〔2024〕11号</w:t>
            </w:r>
          </w:p>
        </w:tc>
        <w:tc>
          <w:tcPr>
            <w:tcW w:w="3402" w:type="dxa"/>
            <w:vAlign w:val="center"/>
          </w:tcPr>
          <w:p w:rsidR="005259D3" w:rsidRDefault="00970FCB">
            <w:pPr>
              <w:widowControl/>
              <w:jc w:val="left"/>
              <w:textAlignment w:val="center"/>
              <w:rPr>
                <w:rFonts w:cs="宋体"/>
                <w:color w:val="000000"/>
                <w:kern w:val="0"/>
                <w:sz w:val="21"/>
                <w:szCs w:val="21"/>
              </w:rPr>
            </w:pPr>
            <w:r>
              <w:rPr>
                <w:rFonts w:ascii="仿宋_GB2312" w:hAnsi="等线" w:cs="仿宋_GB2312" w:hint="eastAsia"/>
                <w:color w:val="000000"/>
                <w:kern w:val="0"/>
                <w:sz w:val="20"/>
              </w:rPr>
              <w:t>四川省地震局关于德格县疾病预防控制中心鼠疫强毒实验室及综合业务用房建设项目工程场地抗震设防要求的批复</w:t>
            </w:r>
          </w:p>
        </w:tc>
        <w:tc>
          <w:tcPr>
            <w:tcW w:w="1999"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2024.9.23</w:t>
            </w:r>
          </w:p>
        </w:tc>
      </w:tr>
      <w:tr w:rsidR="005259D3">
        <w:trPr>
          <w:jc w:val="center"/>
        </w:trPr>
        <w:tc>
          <w:tcPr>
            <w:tcW w:w="704" w:type="dxa"/>
            <w:vAlign w:val="center"/>
          </w:tcPr>
          <w:p w:rsidR="005259D3" w:rsidRDefault="00970FCB">
            <w:pPr>
              <w:widowControl/>
              <w:spacing w:line="360" w:lineRule="exact"/>
              <w:jc w:val="center"/>
              <w:outlineLvl w:val="1"/>
              <w:rPr>
                <w:rFonts w:cs="宋体"/>
                <w:color w:val="000000"/>
                <w:kern w:val="0"/>
                <w:sz w:val="21"/>
                <w:szCs w:val="21"/>
              </w:rPr>
            </w:pPr>
            <w:r>
              <w:rPr>
                <w:rFonts w:cs="宋体" w:hint="eastAsia"/>
                <w:color w:val="000000"/>
                <w:kern w:val="0"/>
                <w:sz w:val="21"/>
                <w:szCs w:val="21"/>
              </w:rPr>
              <w:lastRenderedPageBreak/>
              <w:t>4</w:t>
            </w:r>
          </w:p>
        </w:tc>
        <w:tc>
          <w:tcPr>
            <w:tcW w:w="1701" w:type="dxa"/>
            <w:vAlign w:val="center"/>
          </w:tcPr>
          <w:p w:rsidR="005259D3" w:rsidRDefault="00970FCB">
            <w:pPr>
              <w:widowControl/>
              <w:jc w:val="left"/>
              <w:textAlignment w:val="center"/>
              <w:rPr>
                <w:rFonts w:cs="宋体"/>
                <w:color w:val="000000"/>
                <w:kern w:val="0"/>
                <w:sz w:val="21"/>
                <w:szCs w:val="21"/>
              </w:rPr>
            </w:pPr>
            <w:r>
              <w:rPr>
                <w:rFonts w:ascii="仿宋_GB2312" w:hAnsi="等线" w:cs="仿宋_GB2312" w:hint="eastAsia"/>
                <w:color w:val="000000"/>
                <w:kern w:val="0"/>
                <w:sz w:val="20"/>
              </w:rPr>
              <w:t>德阳市疾病预防控制中心新建项目</w:t>
            </w:r>
          </w:p>
        </w:tc>
        <w:tc>
          <w:tcPr>
            <w:tcW w:w="2835"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德阳市疾病预防控制中心</w:t>
            </w:r>
          </w:p>
        </w:tc>
        <w:tc>
          <w:tcPr>
            <w:tcW w:w="1559"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田源</w:t>
            </w:r>
          </w:p>
        </w:tc>
        <w:tc>
          <w:tcPr>
            <w:tcW w:w="2410"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川震许可〔2024〕12号</w:t>
            </w:r>
          </w:p>
        </w:tc>
        <w:tc>
          <w:tcPr>
            <w:tcW w:w="3402" w:type="dxa"/>
            <w:vAlign w:val="center"/>
          </w:tcPr>
          <w:p w:rsidR="005259D3" w:rsidRDefault="00970FCB">
            <w:pPr>
              <w:widowControl/>
              <w:jc w:val="left"/>
              <w:textAlignment w:val="center"/>
              <w:rPr>
                <w:rFonts w:cs="宋体"/>
                <w:color w:val="000000"/>
                <w:kern w:val="0"/>
                <w:sz w:val="21"/>
                <w:szCs w:val="21"/>
              </w:rPr>
            </w:pPr>
            <w:r>
              <w:rPr>
                <w:rFonts w:ascii="仿宋_GB2312" w:hAnsi="等线" w:cs="仿宋_GB2312" w:hint="eastAsia"/>
                <w:color w:val="000000"/>
                <w:kern w:val="0"/>
                <w:sz w:val="20"/>
              </w:rPr>
              <w:t>四川省地震局关于德阳市疾病预防控制中心新建项目工程场地抗震设防要求的批复</w:t>
            </w:r>
          </w:p>
        </w:tc>
        <w:tc>
          <w:tcPr>
            <w:tcW w:w="1999"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2024.9.30</w:t>
            </w:r>
          </w:p>
        </w:tc>
      </w:tr>
      <w:tr w:rsidR="005259D3">
        <w:trPr>
          <w:jc w:val="center"/>
        </w:trPr>
        <w:tc>
          <w:tcPr>
            <w:tcW w:w="704" w:type="dxa"/>
            <w:vAlign w:val="center"/>
          </w:tcPr>
          <w:p w:rsidR="005259D3" w:rsidRDefault="00970FCB">
            <w:pPr>
              <w:widowControl/>
              <w:spacing w:line="360" w:lineRule="exact"/>
              <w:jc w:val="center"/>
              <w:outlineLvl w:val="1"/>
              <w:rPr>
                <w:rFonts w:cs="宋体"/>
                <w:color w:val="000000"/>
                <w:kern w:val="0"/>
                <w:sz w:val="21"/>
                <w:szCs w:val="21"/>
              </w:rPr>
            </w:pPr>
            <w:r>
              <w:rPr>
                <w:rFonts w:cs="宋体" w:hint="eastAsia"/>
                <w:color w:val="000000"/>
                <w:kern w:val="0"/>
                <w:sz w:val="21"/>
                <w:szCs w:val="21"/>
              </w:rPr>
              <w:t>5</w:t>
            </w:r>
          </w:p>
        </w:tc>
        <w:tc>
          <w:tcPr>
            <w:tcW w:w="1701" w:type="dxa"/>
            <w:vAlign w:val="center"/>
          </w:tcPr>
          <w:p w:rsidR="005259D3" w:rsidRDefault="00970FCB">
            <w:pPr>
              <w:widowControl/>
              <w:jc w:val="left"/>
              <w:textAlignment w:val="center"/>
              <w:rPr>
                <w:rFonts w:cs="宋体"/>
                <w:color w:val="000000"/>
                <w:kern w:val="0"/>
                <w:sz w:val="21"/>
                <w:szCs w:val="21"/>
              </w:rPr>
            </w:pPr>
            <w:r>
              <w:rPr>
                <w:rFonts w:ascii="仿宋_GB2312" w:hAnsi="等线" w:cs="仿宋_GB2312" w:hint="eastAsia"/>
                <w:color w:val="000000"/>
                <w:kern w:val="0"/>
                <w:sz w:val="20"/>
              </w:rPr>
              <w:t>青川县白龙湖跨湖大桥及连接线工程</w:t>
            </w:r>
          </w:p>
        </w:tc>
        <w:tc>
          <w:tcPr>
            <w:tcW w:w="2835"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青川县农村公路建设服务中心</w:t>
            </w:r>
          </w:p>
        </w:tc>
        <w:tc>
          <w:tcPr>
            <w:tcW w:w="1559"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刘光彦</w:t>
            </w:r>
          </w:p>
        </w:tc>
        <w:tc>
          <w:tcPr>
            <w:tcW w:w="2410"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川震许可〔2024〕13号</w:t>
            </w:r>
          </w:p>
        </w:tc>
        <w:tc>
          <w:tcPr>
            <w:tcW w:w="3402" w:type="dxa"/>
            <w:vAlign w:val="center"/>
          </w:tcPr>
          <w:p w:rsidR="005259D3" w:rsidRDefault="00970FCB">
            <w:pPr>
              <w:widowControl/>
              <w:jc w:val="left"/>
              <w:textAlignment w:val="center"/>
              <w:rPr>
                <w:rFonts w:cs="宋体"/>
                <w:color w:val="000000"/>
                <w:kern w:val="0"/>
                <w:sz w:val="21"/>
                <w:szCs w:val="21"/>
              </w:rPr>
            </w:pPr>
            <w:r>
              <w:rPr>
                <w:rFonts w:ascii="仿宋_GB2312" w:hAnsi="等线" w:cs="仿宋_GB2312" w:hint="eastAsia"/>
                <w:color w:val="000000"/>
                <w:kern w:val="0"/>
                <w:sz w:val="20"/>
              </w:rPr>
              <w:t>四川省地震局关于青川县白龙湖跨湖大桥及连接线工程场地抗震设防要求的批复</w:t>
            </w:r>
          </w:p>
        </w:tc>
        <w:tc>
          <w:tcPr>
            <w:tcW w:w="1999" w:type="dxa"/>
            <w:vAlign w:val="center"/>
          </w:tcPr>
          <w:p w:rsidR="005259D3" w:rsidRDefault="00970FCB">
            <w:pPr>
              <w:widowControl/>
              <w:jc w:val="center"/>
              <w:textAlignment w:val="center"/>
              <w:rPr>
                <w:rFonts w:cs="宋体"/>
                <w:color w:val="000000"/>
                <w:kern w:val="0"/>
                <w:sz w:val="21"/>
                <w:szCs w:val="21"/>
              </w:rPr>
            </w:pPr>
            <w:r>
              <w:rPr>
                <w:rFonts w:ascii="仿宋_GB2312" w:hAnsi="等线" w:cs="仿宋_GB2312" w:hint="eastAsia"/>
                <w:color w:val="000000"/>
                <w:kern w:val="0"/>
                <w:sz w:val="20"/>
              </w:rPr>
              <w:t>2024.10.12</w:t>
            </w:r>
          </w:p>
        </w:tc>
      </w:tr>
      <w:bookmarkEnd w:id="1"/>
    </w:tbl>
    <w:p w:rsidR="005259D3" w:rsidRDefault="005259D3"/>
    <w:sectPr w:rsidR="005259D3" w:rsidSect="005259D3">
      <w:pgSz w:w="16838" w:h="11906" w:orient="landscape"/>
      <w:pgMar w:top="1588" w:right="2098" w:bottom="1474" w:left="1985"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9D3" w:rsidRDefault="00970FCB">
      <w:pPr>
        <w:spacing w:line="240" w:lineRule="auto"/>
      </w:pPr>
      <w:r>
        <w:separator/>
      </w:r>
    </w:p>
  </w:endnote>
  <w:endnote w:type="continuationSeparator" w:id="1">
    <w:p w:rsidR="005259D3" w:rsidRDefault="00970F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华文仿宋"/>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9D3" w:rsidRDefault="00970FCB">
      <w:pPr>
        <w:spacing w:line="240" w:lineRule="auto"/>
      </w:pPr>
      <w:r>
        <w:separator/>
      </w:r>
    </w:p>
  </w:footnote>
  <w:footnote w:type="continuationSeparator" w:id="1">
    <w:p w:rsidR="005259D3" w:rsidRDefault="00970FC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cumentProtection w:edit="readOnly" w:enforcement="0"/>
  <w:defaultTabStop w:val="420"/>
  <w:drawingGridVerticalSpacing w:val="159"/>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I1NGQ4MDY4NjMxYWVlMzc3ODM2NDE0MmU1ODUxYzYifQ=="/>
    <w:docVar w:name="KGWebUrl" w:val="https://10.51.222.3:8443/seeyon/officeservlet"/>
  </w:docVars>
  <w:rsids>
    <w:rsidRoot w:val="4DD43812"/>
    <w:rsid w:val="F7F78317"/>
    <w:rsid w:val="F9D7ABE8"/>
    <w:rsid w:val="FEEECF6F"/>
    <w:rsid w:val="FFD5071A"/>
    <w:rsid w:val="FFFE5556"/>
    <w:rsid w:val="00061D6C"/>
    <w:rsid w:val="002C07EC"/>
    <w:rsid w:val="00480677"/>
    <w:rsid w:val="00490985"/>
    <w:rsid w:val="005259D3"/>
    <w:rsid w:val="006E7A4E"/>
    <w:rsid w:val="007721F5"/>
    <w:rsid w:val="00792B84"/>
    <w:rsid w:val="007C30F6"/>
    <w:rsid w:val="00970FCB"/>
    <w:rsid w:val="00AA3E77"/>
    <w:rsid w:val="00B5333A"/>
    <w:rsid w:val="03C103C2"/>
    <w:rsid w:val="0793589F"/>
    <w:rsid w:val="0D5E3493"/>
    <w:rsid w:val="1B3E4C43"/>
    <w:rsid w:val="26D95E30"/>
    <w:rsid w:val="3ECB4C7B"/>
    <w:rsid w:val="3FF7619D"/>
    <w:rsid w:val="41F53753"/>
    <w:rsid w:val="4DD43812"/>
    <w:rsid w:val="4DDF92CB"/>
    <w:rsid w:val="6BCC6408"/>
    <w:rsid w:val="6FF7C007"/>
    <w:rsid w:val="77DFE00A"/>
    <w:rsid w:val="77FF2DA6"/>
    <w:rsid w:val="7C3158E0"/>
    <w:rsid w:val="7F1DF0AD"/>
    <w:rsid w:val="7FB3CD19"/>
    <w:rsid w:val="7FFFF3DD"/>
    <w:rsid w:val="BA7B23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9D3"/>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25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C3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C30F6"/>
    <w:rPr>
      <w:rFonts w:eastAsia="仿宋_GB2312"/>
      <w:spacing w:val="-6"/>
      <w:kern w:val="2"/>
      <w:sz w:val="18"/>
      <w:szCs w:val="18"/>
    </w:rPr>
  </w:style>
  <w:style w:type="paragraph" w:styleId="a5">
    <w:name w:val="footer"/>
    <w:basedOn w:val="a"/>
    <w:link w:val="Char0"/>
    <w:rsid w:val="007C30F6"/>
    <w:pPr>
      <w:tabs>
        <w:tab w:val="center" w:pos="4153"/>
        <w:tab w:val="right" w:pos="8306"/>
      </w:tabs>
      <w:snapToGrid w:val="0"/>
      <w:jc w:val="left"/>
    </w:pPr>
    <w:rPr>
      <w:sz w:val="18"/>
      <w:szCs w:val="18"/>
    </w:rPr>
  </w:style>
  <w:style w:type="character" w:customStyle="1" w:styleId="Char0">
    <w:name w:val="页脚 Char"/>
    <w:basedOn w:val="a0"/>
    <w:link w:val="a5"/>
    <w:rsid w:val="007C30F6"/>
    <w:rPr>
      <w:rFonts w:eastAsia="仿宋_GB2312"/>
      <w:spacing w:val="-6"/>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521</Characters>
  <Application>Microsoft Office Word</Application>
  <DocSecurity>0</DocSecurity>
  <Lines>4</Lines>
  <Paragraphs>1</Paragraphs>
  <ScaleCrop>false</ScaleCrop>
  <Company>Microsoft</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四川省2024年7-12月“重大工程抗震设防要求审定”决定公告</dc:title>
  <dc:creator>宝</dc:creator>
  <cp:lastModifiedBy>李兰</cp:lastModifiedBy>
  <cp:revision>2</cp:revision>
  <cp:lastPrinted>2023-11-24T05:59:00Z</cp:lastPrinted>
  <dcterms:created xsi:type="dcterms:W3CDTF">2025-01-02T08:08:00Z</dcterms:created>
  <dcterms:modified xsi:type="dcterms:W3CDTF">2025-01-02T08:08:00Z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2052-11.8.2.10155</vt:lpwstr>
  </property>
  <property fmtid="{D5CDD505-2E9C-101B-9397-08002B2CF9AE}" pid="3" name="ICV">
    <vt:lpwstr>3B03F76BCC264301AC3171C779A0FE21_13</vt:lpwstr>
  </property>
</Properties>
</file>